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F2" w:rsidRPr="004E117E" w:rsidRDefault="00040906" w:rsidP="00454DF2">
      <w:pPr>
        <w:widowControl w:val="0"/>
        <w:spacing w:after="0" w:line="240" w:lineRule="auto"/>
        <w:jc w:val="center"/>
        <w:rPr>
          <w:b/>
        </w:rPr>
      </w:pPr>
      <w:bookmarkStart w:id="0" w:name="_GoBack"/>
      <w:bookmarkEnd w:id="0"/>
      <w:r>
        <w:rPr>
          <w:b/>
        </w:rPr>
        <w:t xml:space="preserve">TIÊU CHUẨN VÀ </w:t>
      </w:r>
      <w:r w:rsidR="00B51DD1">
        <w:rPr>
          <w:b/>
        </w:rPr>
        <w:t>QUYỀN</w:t>
      </w:r>
      <w:r>
        <w:rPr>
          <w:b/>
        </w:rPr>
        <w:t xml:space="preserve"> CỬ,</w:t>
      </w:r>
      <w:r w:rsidR="00F56D0C" w:rsidRPr="004E117E">
        <w:rPr>
          <w:b/>
        </w:rPr>
        <w:t xml:space="preserve"> ỨNG CỬ</w:t>
      </w:r>
      <w:r w:rsidR="00B51DD1">
        <w:rPr>
          <w:b/>
        </w:rPr>
        <w:t xml:space="preserve"> </w:t>
      </w:r>
      <w:r w:rsidR="00F56D0C" w:rsidRPr="004E117E">
        <w:rPr>
          <w:b/>
        </w:rPr>
        <w:t xml:space="preserve">THÀNH VIÊN </w:t>
      </w:r>
      <w:r w:rsidR="00B51DD1">
        <w:rPr>
          <w:b/>
        </w:rPr>
        <w:t>HĐQT</w:t>
      </w:r>
    </w:p>
    <w:p w:rsidR="00300378" w:rsidRPr="004E117E" w:rsidRDefault="00F56D0C" w:rsidP="00454DF2">
      <w:pPr>
        <w:widowControl w:val="0"/>
        <w:spacing w:after="0" w:line="240" w:lineRule="auto"/>
        <w:jc w:val="center"/>
        <w:rPr>
          <w:b/>
        </w:rPr>
      </w:pPr>
      <w:r w:rsidRPr="004E117E">
        <w:rPr>
          <w:b/>
        </w:rPr>
        <w:t>CÔNG TY CỔ PHẦN NHIỆT ĐIỆN QUẢNG NINH</w:t>
      </w:r>
    </w:p>
    <w:p w:rsidR="00F56D0C" w:rsidRPr="004E117E" w:rsidRDefault="00F56D0C" w:rsidP="00C5787A">
      <w:pPr>
        <w:widowControl w:val="0"/>
        <w:jc w:val="center"/>
        <w:rPr>
          <w:i/>
        </w:rPr>
      </w:pPr>
      <w:r w:rsidRPr="004E117E">
        <w:rPr>
          <w:i/>
        </w:rPr>
        <w:t>(Kèm theo văn bản số</w:t>
      </w:r>
      <w:r w:rsidR="00D80F35">
        <w:rPr>
          <w:i/>
        </w:rPr>
        <w:t>:</w:t>
      </w:r>
      <w:r w:rsidRPr="004E117E">
        <w:rPr>
          <w:i/>
        </w:rPr>
        <w:t xml:space="preserve">    </w:t>
      </w:r>
      <w:r w:rsidR="00454DF2" w:rsidRPr="004E117E">
        <w:rPr>
          <w:i/>
        </w:rPr>
        <w:t xml:space="preserve">  </w:t>
      </w:r>
      <w:r w:rsidRPr="004E117E">
        <w:rPr>
          <w:i/>
        </w:rPr>
        <w:t xml:space="preserve">    /NĐQN-HĐQT ngày</w:t>
      </w:r>
      <w:r w:rsidR="00454DF2" w:rsidRPr="004E117E">
        <w:rPr>
          <w:i/>
        </w:rPr>
        <w:t xml:space="preserve">  </w:t>
      </w:r>
      <w:r w:rsidRPr="004E117E">
        <w:rPr>
          <w:i/>
        </w:rPr>
        <w:t xml:space="preserve">     /4/20</w:t>
      </w:r>
      <w:r w:rsidR="00931F31">
        <w:rPr>
          <w:i/>
        </w:rPr>
        <w:t>20</w:t>
      </w:r>
      <w:r w:rsidRPr="004E117E">
        <w:rPr>
          <w:i/>
        </w:rPr>
        <w:t>)</w:t>
      </w:r>
    </w:p>
    <w:p w:rsidR="00F56D0C" w:rsidRPr="00AC5B09" w:rsidRDefault="00F56D0C" w:rsidP="00AC5B09">
      <w:pPr>
        <w:widowControl w:val="0"/>
        <w:spacing w:before="240" w:after="120" w:line="240" w:lineRule="auto"/>
        <w:ind w:firstLine="720"/>
        <w:jc w:val="both"/>
        <w:rPr>
          <w:szCs w:val="28"/>
        </w:rPr>
      </w:pPr>
      <w:r w:rsidRPr="00AC5B09">
        <w:rPr>
          <w:szCs w:val="28"/>
        </w:rPr>
        <w:t>Căn cứ Luật Doanh nghiệp số 68/2014/QH13 ngày 26/11/2014 của Quốc hội nước Cộng hòa Xã hội Chủ nghĩa Việt Nam;</w:t>
      </w:r>
    </w:p>
    <w:p w:rsidR="00BE3691" w:rsidRPr="00AC5B09" w:rsidRDefault="00BE3691" w:rsidP="00454DF2">
      <w:pPr>
        <w:widowControl w:val="0"/>
        <w:spacing w:before="120" w:after="120" w:line="240" w:lineRule="auto"/>
        <w:ind w:firstLine="720"/>
        <w:jc w:val="both"/>
        <w:rPr>
          <w:szCs w:val="28"/>
        </w:rPr>
      </w:pPr>
      <w:r w:rsidRPr="00AC5B09">
        <w:rPr>
          <w:szCs w:val="28"/>
        </w:rPr>
        <w:t>Căn cứ Nghị định 71</w:t>
      </w:r>
      <w:r w:rsidR="00B524F9" w:rsidRPr="00AC5B09">
        <w:rPr>
          <w:szCs w:val="28"/>
        </w:rPr>
        <w:t>/2017/NĐ-CP ngày 06/6/2017 của Chính phủ hướng dẫn về quản trị công ty đối với công ty đại chúng;</w:t>
      </w:r>
    </w:p>
    <w:p w:rsidR="00F56D0C" w:rsidRPr="00AC5B09" w:rsidRDefault="00F56D0C" w:rsidP="00454DF2">
      <w:pPr>
        <w:widowControl w:val="0"/>
        <w:spacing w:before="120" w:after="120" w:line="240" w:lineRule="auto"/>
        <w:ind w:firstLine="720"/>
        <w:jc w:val="both"/>
        <w:rPr>
          <w:spacing w:val="-6"/>
          <w:szCs w:val="28"/>
        </w:rPr>
      </w:pPr>
      <w:r w:rsidRPr="00AC5B09">
        <w:rPr>
          <w:spacing w:val="-6"/>
          <w:szCs w:val="28"/>
        </w:rPr>
        <w:t xml:space="preserve">Căn cứ Điều lệ tổ chức và hoạt động của Công ty </w:t>
      </w:r>
      <w:r w:rsidR="008E3301" w:rsidRPr="00AC5B09">
        <w:rPr>
          <w:spacing w:val="-6"/>
          <w:szCs w:val="28"/>
        </w:rPr>
        <w:t>CP</w:t>
      </w:r>
      <w:r w:rsidRPr="00AC5B09">
        <w:rPr>
          <w:spacing w:val="-6"/>
          <w:szCs w:val="28"/>
        </w:rPr>
        <w:t xml:space="preserve"> Nhiệt điện Quả</w:t>
      </w:r>
      <w:r w:rsidR="00454DF2" w:rsidRPr="00AC5B09">
        <w:rPr>
          <w:spacing w:val="-6"/>
          <w:szCs w:val="28"/>
        </w:rPr>
        <w:t>ng Ninh.</w:t>
      </w:r>
    </w:p>
    <w:p w:rsidR="00F56D0C" w:rsidRPr="00AC5B09" w:rsidRDefault="00F56D0C" w:rsidP="00C0225E">
      <w:pPr>
        <w:widowControl w:val="0"/>
        <w:spacing w:before="120" w:after="240" w:line="240" w:lineRule="auto"/>
        <w:jc w:val="both"/>
        <w:rPr>
          <w:szCs w:val="28"/>
        </w:rPr>
      </w:pPr>
      <w:r w:rsidRPr="00AC5B09">
        <w:rPr>
          <w:szCs w:val="28"/>
        </w:rPr>
        <w:tab/>
        <w:t>Các nguyên tắc đề cử, ứng cử nhân sự để bầu thành viên Hội đồng quản trị Công ty cổ phần Nhiệt điện Quảng Ninh tại phiên họp Đại hội đồng cổ đông thườ</w:t>
      </w:r>
      <w:r w:rsidR="00FC3F29" w:rsidRPr="00AC5B09">
        <w:rPr>
          <w:szCs w:val="28"/>
        </w:rPr>
        <w:t>ng niên năm 20</w:t>
      </w:r>
      <w:r w:rsidR="00931F31" w:rsidRPr="00AC5B09">
        <w:rPr>
          <w:szCs w:val="28"/>
        </w:rPr>
        <w:t>20</w:t>
      </w:r>
      <w:r w:rsidRPr="00AC5B09">
        <w:rPr>
          <w:szCs w:val="28"/>
        </w:rPr>
        <w:t xml:space="preserve"> thực hiện như sau:</w:t>
      </w:r>
    </w:p>
    <w:p w:rsidR="00F56D0C" w:rsidRPr="00AC5B09" w:rsidRDefault="00F56D0C" w:rsidP="00454DF2">
      <w:pPr>
        <w:widowControl w:val="0"/>
        <w:spacing w:before="120" w:after="120" w:line="240" w:lineRule="auto"/>
        <w:ind w:firstLine="720"/>
        <w:jc w:val="both"/>
        <w:rPr>
          <w:rFonts w:eastAsia="Times New Roman"/>
          <w:b/>
          <w:szCs w:val="28"/>
        </w:rPr>
      </w:pPr>
      <w:r w:rsidRPr="00AC5B09">
        <w:rPr>
          <w:rFonts w:eastAsia="Times New Roman"/>
          <w:b/>
          <w:szCs w:val="28"/>
        </w:rPr>
        <w:t xml:space="preserve">1. </w:t>
      </w:r>
      <w:r w:rsidR="002D73FD" w:rsidRPr="00AC5B09">
        <w:rPr>
          <w:rFonts w:eastAsia="Times New Roman"/>
          <w:b/>
          <w:szCs w:val="28"/>
        </w:rPr>
        <w:t xml:space="preserve">Tiêu chuẩn </w:t>
      </w:r>
      <w:r w:rsidR="00B51DD1" w:rsidRPr="00AC5B09">
        <w:rPr>
          <w:rFonts w:eastAsia="Times New Roman"/>
          <w:b/>
          <w:szCs w:val="28"/>
        </w:rPr>
        <w:t>T</w:t>
      </w:r>
      <w:r w:rsidRPr="00AC5B09">
        <w:rPr>
          <w:rFonts w:eastAsia="Times New Roman"/>
          <w:b/>
          <w:szCs w:val="28"/>
        </w:rPr>
        <w:t>hành viên Hội đồng quản trị:</w:t>
      </w:r>
    </w:p>
    <w:p w:rsidR="00040906" w:rsidRPr="00AC5B09" w:rsidRDefault="00040906" w:rsidP="00040906">
      <w:pPr>
        <w:widowControl w:val="0"/>
        <w:spacing w:afterLines="60" w:after="144" w:line="247" w:lineRule="auto"/>
        <w:ind w:firstLine="720"/>
        <w:jc w:val="both"/>
        <w:rPr>
          <w:rFonts w:eastAsia="Times New Roman"/>
          <w:szCs w:val="28"/>
        </w:rPr>
      </w:pPr>
      <w:r w:rsidRPr="00AC5B09">
        <w:rPr>
          <w:rFonts w:eastAsia="Times New Roman"/>
          <w:szCs w:val="28"/>
        </w:rPr>
        <w:t>a) Có năng lực hành vi dân sự đầy đủ, không thuộc đối tượng không được quản lý doanh nghiệp theo quy định tại Khoản 2 Điều 18 Luật Doanh nghiệp;</w:t>
      </w:r>
    </w:p>
    <w:p w:rsidR="00040906" w:rsidRPr="00AC5B09" w:rsidRDefault="00040906" w:rsidP="00040906">
      <w:pPr>
        <w:widowControl w:val="0"/>
        <w:spacing w:afterLines="60" w:after="144" w:line="247" w:lineRule="auto"/>
        <w:ind w:firstLine="720"/>
        <w:jc w:val="both"/>
        <w:rPr>
          <w:rFonts w:eastAsia="Times New Roman"/>
          <w:szCs w:val="28"/>
        </w:rPr>
      </w:pPr>
      <w:r w:rsidRPr="00AC5B09">
        <w:rPr>
          <w:rFonts w:eastAsia="Times New Roman"/>
          <w:szCs w:val="28"/>
        </w:rPr>
        <w:t>b) Có trình độ chuyên môn, kinh nghiệm trong quản lý kinh doanh của Công ty và không nhất thiết phải là cổ đông của công ty;</w:t>
      </w:r>
    </w:p>
    <w:p w:rsidR="00040906" w:rsidRPr="00AC5B09" w:rsidRDefault="00040906" w:rsidP="00040906">
      <w:pPr>
        <w:widowControl w:val="0"/>
        <w:spacing w:afterLines="60" w:after="144" w:line="247" w:lineRule="auto"/>
        <w:ind w:firstLine="720"/>
        <w:jc w:val="both"/>
        <w:rPr>
          <w:rFonts w:eastAsia="Times New Roman"/>
          <w:szCs w:val="28"/>
        </w:rPr>
      </w:pPr>
      <w:r w:rsidRPr="00AC5B09">
        <w:rPr>
          <w:rFonts w:eastAsia="Times New Roman"/>
          <w:szCs w:val="28"/>
        </w:rPr>
        <w:t>c) Thành viên Hội đồng quản trị công ty có thể đồng thời là thành viên Hội đồng quản trị của công ty khác, nhưng không qua 05 công ty khác;</w:t>
      </w:r>
    </w:p>
    <w:p w:rsidR="00040906" w:rsidRPr="00AC5B09" w:rsidRDefault="00040906" w:rsidP="00040906">
      <w:pPr>
        <w:widowControl w:val="0"/>
        <w:spacing w:afterLines="60" w:after="144" w:line="247" w:lineRule="auto"/>
        <w:ind w:firstLine="720"/>
        <w:jc w:val="both"/>
        <w:rPr>
          <w:rFonts w:eastAsia="Times New Roman"/>
          <w:spacing w:val="-2"/>
          <w:szCs w:val="28"/>
        </w:rPr>
      </w:pPr>
      <w:r w:rsidRPr="00AC5B09">
        <w:rPr>
          <w:rFonts w:eastAsia="Times New Roman"/>
          <w:spacing w:val="-2"/>
          <w:szCs w:val="28"/>
        </w:rPr>
        <w:t>d) Thành viên Hội đồng quản trị không được là vợ hoặc chồng, cha đẻ, cha nuôi, mẹ đẻ, mẹ nuôi, con đẻ, con nuôi, anh ruột, chị ruột, em ruột, anh rể, chị dâu, em dâu của Tổng giám đốc và người quản lý khác của công ty; không được là người có liêu quan của người quản lý, người có thẩm quyền bổ nhiệm người quản lý công ty mẹ.</w:t>
      </w:r>
    </w:p>
    <w:p w:rsidR="00F56D0C" w:rsidRPr="00AC5B09" w:rsidRDefault="002D73FD" w:rsidP="00454DF2">
      <w:pPr>
        <w:widowControl w:val="0"/>
        <w:spacing w:before="120" w:after="120" w:line="240" w:lineRule="auto"/>
        <w:jc w:val="both"/>
        <w:rPr>
          <w:b/>
          <w:szCs w:val="28"/>
        </w:rPr>
      </w:pPr>
      <w:r w:rsidRPr="00AC5B09">
        <w:rPr>
          <w:b/>
          <w:szCs w:val="28"/>
        </w:rPr>
        <w:tab/>
      </w:r>
      <w:r w:rsidR="00023B83" w:rsidRPr="00AC5B09">
        <w:rPr>
          <w:b/>
          <w:szCs w:val="28"/>
        </w:rPr>
        <w:t>2</w:t>
      </w:r>
      <w:r w:rsidRPr="00AC5B09">
        <w:rPr>
          <w:b/>
          <w:szCs w:val="28"/>
        </w:rPr>
        <w:t>. Quyền đề cử, ứng cử:</w:t>
      </w:r>
    </w:p>
    <w:p w:rsidR="00023B83" w:rsidRPr="00AC5B09" w:rsidRDefault="00023B83" w:rsidP="00023B83">
      <w:pPr>
        <w:widowControl w:val="0"/>
        <w:spacing w:afterLines="60" w:after="144" w:line="247" w:lineRule="auto"/>
        <w:ind w:firstLine="720"/>
        <w:jc w:val="both"/>
        <w:rPr>
          <w:rFonts w:eastAsia="Times New Roman"/>
          <w:szCs w:val="28"/>
        </w:rPr>
      </w:pPr>
      <w:r w:rsidRPr="00AC5B09">
        <w:rPr>
          <w:rFonts w:eastAsia="Times New Roman"/>
          <w:szCs w:val="28"/>
        </w:rPr>
        <w:t>a). Các cổ đông nắm giữ cổ phần phổ thông trong thời hạn liên tục ít nhất 06 (sáu) tháng có quyền gộp số quyền biểu quyết để đề cử các ứng viên Hội đồng quản trị. Cổ đông hoặc nhóm cổ đông nắm giữ từ 5% đến dưới 20% được đề cử tối đa 01 (một) ứng viên; từ 20% đến dưới 30% được đề cử tối đa 02 (hai) ứng viên; từ 30% đến dưới 40% được đề cử tối đa 03 (ba) ứng viên; từ 40% đến dưới 50% được đề cử tối đa 04 (bốn) ứng viên; từ 50% đến dưới 60% được đề cử tối đa 05 (năm) ứng viên; từ 60% đến dưới 70% được đề cử tối đa 06 (sáu) ứng viên; từ 70% đến 80% được đề cử tối đa 07 (bảy) ứng viên; từ 80% đến dưới 90% được đề cử tối đa 08 (tám) ứng viên.</w:t>
      </w:r>
    </w:p>
    <w:p w:rsidR="00B23C82" w:rsidRPr="00AC5B09" w:rsidRDefault="00023B83" w:rsidP="00454DF2">
      <w:pPr>
        <w:widowControl w:val="0"/>
        <w:spacing w:before="120" w:after="120" w:line="240" w:lineRule="auto"/>
        <w:ind w:firstLine="720"/>
        <w:jc w:val="both"/>
        <w:rPr>
          <w:spacing w:val="-4"/>
          <w:szCs w:val="28"/>
        </w:rPr>
      </w:pPr>
      <w:r w:rsidRPr="00AC5B09">
        <w:rPr>
          <w:rFonts w:eastAsia="Times New Roman"/>
          <w:spacing w:val="-4"/>
          <w:szCs w:val="28"/>
        </w:rPr>
        <w:t>b)</w:t>
      </w:r>
      <w:r w:rsidR="002D73FD" w:rsidRPr="00AC5B09">
        <w:rPr>
          <w:rFonts w:eastAsia="Times New Roman"/>
          <w:spacing w:val="-4"/>
          <w:szCs w:val="28"/>
        </w:rPr>
        <w:t xml:space="preserve"> </w:t>
      </w:r>
      <w:r w:rsidR="002D73FD" w:rsidRPr="00AC5B09">
        <w:rPr>
          <w:spacing w:val="-4"/>
          <w:szCs w:val="28"/>
        </w:rPr>
        <w:t xml:space="preserve">Trường hợp số lượng các ứng viên Hội đồng quản trị thông qua đề cử và ứng cử vẫn không đủ số lượng cần thiết, </w:t>
      </w:r>
      <w:r w:rsidR="00B23C82" w:rsidRPr="00AC5B09">
        <w:rPr>
          <w:spacing w:val="-4"/>
          <w:szCs w:val="28"/>
        </w:rPr>
        <w:t>thì số ứng cử viên còn lại do Hội đồng quản trị</w:t>
      </w:r>
      <w:r w:rsidRPr="00AC5B09">
        <w:rPr>
          <w:spacing w:val="-4"/>
          <w:szCs w:val="28"/>
        </w:rPr>
        <w:t xml:space="preserve"> </w:t>
      </w:r>
      <w:r w:rsidR="00B23C82" w:rsidRPr="00AC5B09">
        <w:rPr>
          <w:spacing w:val="-4"/>
          <w:szCs w:val="28"/>
        </w:rPr>
        <w:t>đề cử.</w:t>
      </w:r>
    </w:p>
    <w:p w:rsidR="007145CC" w:rsidRPr="00AC5B09" w:rsidRDefault="00023B83" w:rsidP="00454DF2">
      <w:pPr>
        <w:widowControl w:val="0"/>
        <w:spacing w:before="120" w:after="120" w:line="240" w:lineRule="auto"/>
        <w:ind w:firstLine="720"/>
        <w:jc w:val="both"/>
        <w:rPr>
          <w:szCs w:val="28"/>
        </w:rPr>
      </w:pPr>
      <w:r w:rsidRPr="00AC5B09">
        <w:rPr>
          <w:szCs w:val="28"/>
        </w:rPr>
        <w:t>c)</w:t>
      </w:r>
      <w:r w:rsidR="007145CC" w:rsidRPr="00AC5B09">
        <w:rPr>
          <w:szCs w:val="28"/>
        </w:rPr>
        <w:t xml:space="preserve"> Việc đề cử ứng viên Hội đồng quản trị mà các cổ đông sau khi gộp số quyền biểu quyết có quyền đề cử phải thực hiện theo các biểu mẫu mà Công ty cung cấp và tuân thủ các quy định của pháp luật và Điều lệ công ty.</w:t>
      </w:r>
    </w:p>
    <w:p w:rsidR="002D73FD" w:rsidRPr="00AC5B09" w:rsidRDefault="002D73FD" w:rsidP="00454DF2">
      <w:pPr>
        <w:widowControl w:val="0"/>
        <w:spacing w:before="120" w:after="120" w:line="240" w:lineRule="auto"/>
        <w:jc w:val="both"/>
        <w:rPr>
          <w:b/>
          <w:szCs w:val="28"/>
        </w:rPr>
      </w:pPr>
      <w:r w:rsidRPr="00AC5B09">
        <w:rPr>
          <w:b/>
          <w:szCs w:val="28"/>
        </w:rPr>
        <w:lastRenderedPageBreak/>
        <w:tab/>
      </w:r>
      <w:r w:rsidR="00023B83" w:rsidRPr="00AC5B09">
        <w:rPr>
          <w:b/>
          <w:szCs w:val="28"/>
        </w:rPr>
        <w:t>3</w:t>
      </w:r>
      <w:r w:rsidRPr="00AC5B09">
        <w:rPr>
          <w:b/>
          <w:szCs w:val="28"/>
        </w:rPr>
        <w:t>. Hồ sơ đề cử, ứng cử:</w:t>
      </w:r>
    </w:p>
    <w:p w:rsidR="007145CC" w:rsidRPr="00AC5B09" w:rsidRDefault="007145CC" w:rsidP="00454DF2">
      <w:pPr>
        <w:pStyle w:val="NormalWeb"/>
        <w:widowControl w:val="0"/>
        <w:spacing w:before="120" w:beforeAutospacing="0" w:after="120" w:afterAutospacing="0"/>
        <w:ind w:firstLine="720"/>
        <w:jc w:val="both"/>
        <w:rPr>
          <w:b w:val="0"/>
          <w:sz w:val="28"/>
          <w:szCs w:val="28"/>
        </w:rPr>
      </w:pPr>
      <w:r w:rsidRPr="00AC5B09">
        <w:rPr>
          <w:b w:val="0"/>
          <w:sz w:val="28"/>
          <w:szCs w:val="28"/>
        </w:rPr>
        <w:t>Cổ đông, nhóm cổ đông có nhu cầu đề cử, ứng cử thành viên Hội đồng quản trị, gửi đến Công ty các hồ sơ, tài liệu sau:</w:t>
      </w:r>
    </w:p>
    <w:p w:rsidR="007145CC" w:rsidRPr="00AC5B09" w:rsidRDefault="00023B83" w:rsidP="00454DF2">
      <w:pPr>
        <w:pStyle w:val="NormalWeb"/>
        <w:widowControl w:val="0"/>
        <w:spacing w:before="120" w:beforeAutospacing="0" w:after="120" w:afterAutospacing="0"/>
        <w:ind w:firstLine="709"/>
        <w:jc w:val="both"/>
        <w:rPr>
          <w:b w:val="0"/>
          <w:spacing w:val="-6"/>
          <w:sz w:val="28"/>
          <w:szCs w:val="28"/>
        </w:rPr>
      </w:pPr>
      <w:r w:rsidRPr="00AC5B09">
        <w:rPr>
          <w:b w:val="0"/>
          <w:spacing w:val="-6"/>
          <w:sz w:val="28"/>
          <w:szCs w:val="28"/>
        </w:rPr>
        <w:t>a)</w:t>
      </w:r>
      <w:r w:rsidR="007145CC" w:rsidRPr="00AC5B09">
        <w:rPr>
          <w:b w:val="0"/>
          <w:spacing w:val="-6"/>
          <w:sz w:val="28"/>
          <w:szCs w:val="28"/>
        </w:rPr>
        <w:t xml:space="preserve"> </w:t>
      </w:r>
      <w:r w:rsidR="00C0225E" w:rsidRPr="00AC5B09">
        <w:rPr>
          <w:b w:val="0"/>
          <w:spacing w:val="-6"/>
          <w:sz w:val="28"/>
          <w:szCs w:val="28"/>
        </w:rPr>
        <w:t>Thông báo</w:t>
      </w:r>
      <w:r w:rsidR="007145CC" w:rsidRPr="00AC5B09">
        <w:rPr>
          <w:b w:val="0"/>
          <w:spacing w:val="-6"/>
          <w:sz w:val="28"/>
          <w:szCs w:val="28"/>
        </w:rPr>
        <w:t xml:space="preserve"> đề cử</w:t>
      </w:r>
      <w:r w:rsidR="00C5787A" w:rsidRPr="00AC5B09">
        <w:rPr>
          <w:b w:val="0"/>
          <w:spacing w:val="-6"/>
          <w:sz w:val="28"/>
          <w:szCs w:val="28"/>
        </w:rPr>
        <w:t xml:space="preserve"> hoặc</w:t>
      </w:r>
      <w:r w:rsidR="007145CC" w:rsidRPr="00AC5B09">
        <w:rPr>
          <w:b w:val="0"/>
          <w:spacing w:val="-6"/>
          <w:sz w:val="28"/>
          <w:szCs w:val="28"/>
        </w:rPr>
        <w:t xml:space="preserve"> ứng cử </w:t>
      </w:r>
      <w:r w:rsidRPr="00AC5B09">
        <w:rPr>
          <w:b w:val="0"/>
          <w:spacing w:val="-6"/>
          <w:sz w:val="28"/>
          <w:szCs w:val="28"/>
        </w:rPr>
        <w:t>T</w:t>
      </w:r>
      <w:r w:rsidR="007145CC" w:rsidRPr="00AC5B09">
        <w:rPr>
          <w:b w:val="0"/>
          <w:spacing w:val="-6"/>
          <w:sz w:val="28"/>
          <w:szCs w:val="28"/>
        </w:rPr>
        <w:t>hành viên Hội đồng quản trị (theo mẫu đính kèm);</w:t>
      </w:r>
    </w:p>
    <w:p w:rsidR="007145CC" w:rsidRPr="00AC5B09" w:rsidRDefault="00023B83" w:rsidP="00454DF2">
      <w:pPr>
        <w:pStyle w:val="NormalWeb"/>
        <w:widowControl w:val="0"/>
        <w:spacing w:before="120" w:beforeAutospacing="0" w:after="120" w:afterAutospacing="0"/>
        <w:ind w:firstLine="709"/>
        <w:jc w:val="both"/>
        <w:rPr>
          <w:b w:val="0"/>
          <w:sz w:val="28"/>
          <w:szCs w:val="28"/>
        </w:rPr>
      </w:pPr>
      <w:r w:rsidRPr="00AC5B09">
        <w:rPr>
          <w:b w:val="0"/>
          <w:sz w:val="28"/>
          <w:szCs w:val="28"/>
        </w:rPr>
        <w:t>b)</w:t>
      </w:r>
      <w:r w:rsidR="007145CC" w:rsidRPr="00AC5B09">
        <w:rPr>
          <w:b w:val="0"/>
          <w:sz w:val="28"/>
          <w:szCs w:val="28"/>
        </w:rPr>
        <w:t xml:space="preserve"> Lý lịch cá nhân (theo mẫu đính kèm);</w:t>
      </w:r>
    </w:p>
    <w:p w:rsidR="007145CC" w:rsidRPr="00AC5B09" w:rsidRDefault="00023B83" w:rsidP="00454DF2">
      <w:pPr>
        <w:pStyle w:val="NormalWeb"/>
        <w:widowControl w:val="0"/>
        <w:spacing w:before="120" w:beforeAutospacing="0" w:after="120" w:afterAutospacing="0"/>
        <w:ind w:firstLine="709"/>
        <w:jc w:val="both"/>
        <w:rPr>
          <w:b w:val="0"/>
          <w:sz w:val="28"/>
          <w:szCs w:val="28"/>
        </w:rPr>
      </w:pPr>
      <w:r w:rsidRPr="00AC5B09">
        <w:rPr>
          <w:b w:val="0"/>
          <w:sz w:val="28"/>
          <w:szCs w:val="28"/>
        </w:rPr>
        <w:t>c)</w:t>
      </w:r>
      <w:r w:rsidR="007145CC" w:rsidRPr="00AC5B09">
        <w:rPr>
          <w:b w:val="0"/>
          <w:sz w:val="28"/>
          <w:szCs w:val="28"/>
        </w:rPr>
        <w:t xml:space="preserve"> Bản sao (có chứng thực của Cơ quan Nhà nước có thẩm quyền trong thời hạn 06 tháng gần nhất) các văn bản chứng minh trình độ chuyên môn củ</w:t>
      </w:r>
      <w:r w:rsidR="008E3301" w:rsidRPr="00AC5B09">
        <w:rPr>
          <w:b w:val="0"/>
          <w:sz w:val="28"/>
          <w:szCs w:val="28"/>
        </w:rPr>
        <w:t>a các ứng cử viên theo quy định.</w:t>
      </w:r>
    </w:p>
    <w:p w:rsidR="007145CC" w:rsidRPr="00AC5B09" w:rsidRDefault="00023B83" w:rsidP="00454DF2">
      <w:pPr>
        <w:pStyle w:val="NormalWeb"/>
        <w:widowControl w:val="0"/>
        <w:spacing w:before="120" w:beforeAutospacing="0" w:after="120" w:afterAutospacing="0"/>
        <w:ind w:firstLine="709"/>
        <w:jc w:val="both"/>
        <w:rPr>
          <w:b w:val="0"/>
          <w:sz w:val="28"/>
          <w:szCs w:val="28"/>
        </w:rPr>
      </w:pPr>
      <w:r w:rsidRPr="00AC5B09">
        <w:rPr>
          <w:b w:val="0"/>
          <w:sz w:val="28"/>
          <w:szCs w:val="28"/>
        </w:rPr>
        <w:t>d)</w:t>
      </w:r>
      <w:r w:rsidR="00C5787A" w:rsidRPr="00AC5B09">
        <w:rPr>
          <w:b w:val="0"/>
          <w:sz w:val="28"/>
          <w:szCs w:val="28"/>
        </w:rPr>
        <w:t xml:space="preserve"> Trường hợp ứng viên là người không có quốc tịch Việt Nam, ngoài các văn bản nêu trên, hồ sơ còn bao gồm Phiếu lý lịch tư pháp (hoặc văn bản có giá trị tương đương) do cơ quan có thẩm quyền của nước mà người nước ngoài cư trú trước khi đến Việt Nam cấp. Phiếu này phải được hợp thức hóa lãnh sự. Trường hợp người nước ngoài hiện đã cư trú tại Việt Nam từ đủ 06 tháng trở lên thì phiếu lý lịch tư pháp do Sở Tư pháp của Việt Nam nơi người nước ngoài đang cư trú cấp.</w:t>
      </w:r>
    </w:p>
    <w:p w:rsidR="002D73FD" w:rsidRPr="00AC5B09" w:rsidRDefault="002D73FD" w:rsidP="00C5787A">
      <w:pPr>
        <w:widowControl w:val="0"/>
        <w:jc w:val="both"/>
        <w:rPr>
          <w:b/>
          <w:szCs w:val="28"/>
        </w:rPr>
      </w:pPr>
    </w:p>
    <w:sectPr w:rsidR="002D73FD" w:rsidRPr="00AC5B09" w:rsidSect="00AC5B09">
      <w:footerReference w:type="default" r:id="rId8"/>
      <w:pgSz w:w="11907" w:h="16840" w:code="9"/>
      <w:pgMar w:top="1021" w:right="1134" w:bottom="907" w:left="1701" w:header="720" w:footer="1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F0" w:rsidRDefault="00B21EF0" w:rsidP="00AC5B09">
      <w:pPr>
        <w:spacing w:after="0" w:line="240" w:lineRule="auto"/>
      </w:pPr>
      <w:r>
        <w:separator/>
      </w:r>
    </w:p>
  </w:endnote>
  <w:endnote w:type="continuationSeparator" w:id="0">
    <w:p w:rsidR="00B21EF0" w:rsidRDefault="00B21EF0" w:rsidP="00AC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461149"/>
      <w:docPartObj>
        <w:docPartGallery w:val="Page Numbers (Bottom of Page)"/>
        <w:docPartUnique/>
      </w:docPartObj>
    </w:sdtPr>
    <w:sdtEndPr>
      <w:rPr>
        <w:noProof/>
      </w:rPr>
    </w:sdtEndPr>
    <w:sdtContent>
      <w:p w:rsidR="00AC5B09" w:rsidRDefault="00AC5B09">
        <w:pPr>
          <w:pStyle w:val="Footer"/>
          <w:jc w:val="center"/>
        </w:pPr>
        <w:r>
          <w:fldChar w:fldCharType="begin"/>
        </w:r>
        <w:r>
          <w:instrText xml:space="preserve"> PAGE   \* MERGEFORMAT </w:instrText>
        </w:r>
        <w:r>
          <w:fldChar w:fldCharType="separate"/>
        </w:r>
        <w:r w:rsidR="009D2C10">
          <w:rPr>
            <w:noProof/>
          </w:rPr>
          <w:t>1</w:t>
        </w:r>
        <w:r>
          <w:rPr>
            <w:noProof/>
          </w:rPr>
          <w:fldChar w:fldCharType="end"/>
        </w:r>
      </w:p>
    </w:sdtContent>
  </w:sdt>
  <w:p w:rsidR="00AC5B09" w:rsidRDefault="00AC5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F0" w:rsidRDefault="00B21EF0" w:rsidP="00AC5B09">
      <w:pPr>
        <w:spacing w:after="0" w:line="240" w:lineRule="auto"/>
      </w:pPr>
      <w:r>
        <w:separator/>
      </w:r>
    </w:p>
  </w:footnote>
  <w:footnote w:type="continuationSeparator" w:id="0">
    <w:p w:rsidR="00B21EF0" w:rsidRDefault="00B21EF0" w:rsidP="00AC5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3E62"/>
    <w:multiLevelType w:val="hybridMultilevel"/>
    <w:tmpl w:val="DF6E0D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C9082D"/>
    <w:multiLevelType w:val="hybridMultilevel"/>
    <w:tmpl w:val="AF165286"/>
    <w:lvl w:ilvl="0" w:tplc="372E31B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673CA7"/>
    <w:multiLevelType w:val="hybridMultilevel"/>
    <w:tmpl w:val="60C4A6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2FAC39F2">
      <w:start w:val="1"/>
      <w:numFmt w:val="decimal"/>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7CE823D9"/>
    <w:multiLevelType w:val="hybridMultilevel"/>
    <w:tmpl w:val="1464AFD8"/>
    <w:lvl w:ilvl="0" w:tplc="CF626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0C"/>
    <w:rsid w:val="00023B83"/>
    <w:rsid w:val="00040906"/>
    <w:rsid w:val="00174C98"/>
    <w:rsid w:val="002D73FD"/>
    <w:rsid w:val="00300378"/>
    <w:rsid w:val="003C3289"/>
    <w:rsid w:val="00454DF2"/>
    <w:rsid w:val="004E117E"/>
    <w:rsid w:val="005D747E"/>
    <w:rsid w:val="007145CC"/>
    <w:rsid w:val="007424D3"/>
    <w:rsid w:val="008E3301"/>
    <w:rsid w:val="00931F31"/>
    <w:rsid w:val="009D2C10"/>
    <w:rsid w:val="00AC5B09"/>
    <w:rsid w:val="00B21EF0"/>
    <w:rsid w:val="00B23C82"/>
    <w:rsid w:val="00B51DD1"/>
    <w:rsid w:val="00B524F9"/>
    <w:rsid w:val="00BB5366"/>
    <w:rsid w:val="00BE3691"/>
    <w:rsid w:val="00C0225E"/>
    <w:rsid w:val="00C5787A"/>
    <w:rsid w:val="00C95FC5"/>
    <w:rsid w:val="00D80F35"/>
    <w:rsid w:val="00F56D0C"/>
    <w:rsid w:val="00FB3B53"/>
    <w:rsid w:val="00FC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F9"/>
  </w:style>
  <w:style w:type="paragraph" w:styleId="Heading3">
    <w:name w:val="heading 3"/>
    <w:basedOn w:val="Normal"/>
    <w:next w:val="Normal"/>
    <w:link w:val="Heading3Char"/>
    <w:uiPriority w:val="9"/>
    <w:qFormat/>
    <w:rsid w:val="00F56D0C"/>
    <w:pPr>
      <w:keepNext/>
      <w:spacing w:before="80" w:after="80" w:line="360" w:lineRule="auto"/>
      <w:ind w:firstLine="709"/>
      <w:jc w:val="both"/>
      <w:outlineLvl w:val="2"/>
    </w:pPr>
    <w:rPr>
      <w:rFonts w:eastAsia="Times New Roman" w:cs="Times New Roman"/>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56D0C"/>
    <w:pPr>
      <w:ind w:left="720"/>
      <w:contextualSpacing/>
    </w:pPr>
  </w:style>
  <w:style w:type="character" w:customStyle="1" w:styleId="Heading3Char">
    <w:name w:val="Heading 3 Char"/>
    <w:basedOn w:val="DefaultParagraphFont"/>
    <w:link w:val="Heading3"/>
    <w:uiPriority w:val="9"/>
    <w:rsid w:val="00F56D0C"/>
    <w:rPr>
      <w:rFonts w:eastAsia="Times New Roman" w:cs="Times New Roman"/>
      <w:i/>
      <w:sz w:val="20"/>
      <w:szCs w:val="20"/>
      <w:lang w:val="x-none" w:eastAsia="x-none"/>
    </w:rPr>
  </w:style>
  <w:style w:type="paragraph" w:styleId="NormalWeb">
    <w:name w:val="Normal (Web)"/>
    <w:basedOn w:val="Normal"/>
    <w:rsid w:val="002D73FD"/>
    <w:pPr>
      <w:spacing w:before="100" w:beforeAutospacing="1" w:after="100" w:afterAutospacing="1" w:line="240" w:lineRule="auto"/>
    </w:pPr>
    <w:rPr>
      <w:rFonts w:eastAsia="Times New Roman" w:cs="Times New Roman"/>
      <w:b/>
      <w:sz w:val="24"/>
      <w:szCs w:val="24"/>
    </w:rPr>
  </w:style>
  <w:style w:type="paragraph" w:styleId="BalloonText">
    <w:name w:val="Balloon Text"/>
    <w:basedOn w:val="Normal"/>
    <w:link w:val="BalloonTextChar"/>
    <w:uiPriority w:val="99"/>
    <w:semiHidden/>
    <w:unhideWhenUsed/>
    <w:rsid w:val="00C0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25E"/>
    <w:rPr>
      <w:rFonts w:ascii="Tahoma" w:hAnsi="Tahoma" w:cs="Tahoma"/>
      <w:sz w:val="16"/>
      <w:szCs w:val="16"/>
    </w:rPr>
  </w:style>
  <w:style w:type="paragraph" w:styleId="Header">
    <w:name w:val="header"/>
    <w:basedOn w:val="Normal"/>
    <w:link w:val="HeaderChar"/>
    <w:uiPriority w:val="99"/>
    <w:unhideWhenUsed/>
    <w:rsid w:val="00AC5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09"/>
  </w:style>
  <w:style w:type="paragraph" w:styleId="Footer">
    <w:name w:val="footer"/>
    <w:basedOn w:val="Normal"/>
    <w:link w:val="FooterChar"/>
    <w:uiPriority w:val="99"/>
    <w:unhideWhenUsed/>
    <w:rsid w:val="00AC5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F9"/>
  </w:style>
  <w:style w:type="paragraph" w:styleId="Heading3">
    <w:name w:val="heading 3"/>
    <w:basedOn w:val="Normal"/>
    <w:next w:val="Normal"/>
    <w:link w:val="Heading3Char"/>
    <w:uiPriority w:val="9"/>
    <w:qFormat/>
    <w:rsid w:val="00F56D0C"/>
    <w:pPr>
      <w:keepNext/>
      <w:spacing w:before="80" w:after="80" w:line="360" w:lineRule="auto"/>
      <w:ind w:firstLine="709"/>
      <w:jc w:val="both"/>
      <w:outlineLvl w:val="2"/>
    </w:pPr>
    <w:rPr>
      <w:rFonts w:eastAsia="Times New Roman" w:cs="Times New Roman"/>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56D0C"/>
    <w:pPr>
      <w:ind w:left="720"/>
      <w:contextualSpacing/>
    </w:pPr>
  </w:style>
  <w:style w:type="character" w:customStyle="1" w:styleId="Heading3Char">
    <w:name w:val="Heading 3 Char"/>
    <w:basedOn w:val="DefaultParagraphFont"/>
    <w:link w:val="Heading3"/>
    <w:uiPriority w:val="9"/>
    <w:rsid w:val="00F56D0C"/>
    <w:rPr>
      <w:rFonts w:eastAsia="Times New Roman" w:cs="Times New Roman"/>
      <w:i/>
      <w:sz w:val="20"/>
      <w:szCs w:val="20"/>
      <w:lang w:val="x-none" w:eastAsia="x-none"/>
    </w:rPr>
  </w:style>
  <w:style w:type="paragraph" w:styleId="NormalWeb">
    <w:name w:val="Normal (Web)"/>
    <w:basedOn w:val="Normal"/>
    <w:rsid w:val="002D73FD"/>
    <w:pPr>
      <w:spacing w:before="100" w:beforeAutospacing="1" w:after="100" w:afterAutospacing="1" w:line="240" w:lineRule="auto"/>
    </w:pPr>
    <w:rPr>
      <w:rFonts w:eastAsia="Times New Roman" w:cs="Times New Roman"/>
      <w:b/>
      <w:sz w:val="24"/>
      <w:szCs w:val="24"/>
    </w:rPr>
  </w:style>
  <w:style w:type="paragraph" w:styleId="BalloonText">
    <w:name w:val="Balloon Text"/>
    <w:basedOn w:val="Normal"/>
    <w:link w:val="BalloonTextChar"/>
    <w:uiPriority w:val="99"/>
    <w:semiHidden/>
    <w:unhideWhenUsed/>
    <w:rsid w:val="00C0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25E"/>
    <w:rPr>
      <w:rFonts w:ascii="Tahoma" w:hAnsi="Tahoma" w:cs="Tahoma"/>
      <w:sz w:val="16"/>
      <w:szCs w:val="16"/>
    </w:rPr>
  </w:style>
  <w:style w:type="paragraph" w:styleId="Header">
    <w:name w:val="header"/>
    <w:basedOn w:val="Normal"/>
    <w:link w:val="HeaderChar"/>
    <w:uiPriority w:val="99"/>
    <w:unhideWhenUsed/>
    <w:rsid w:val="00AC5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09"/>
  </w:style>
  <w:style w:type="paragraph" w:styleId="Footer">
    <w:name w:val="footer"/>
    <w:basedOn w:val="Normal"/>
    <w:link w:val="FooterChar"/>
    <w:uiPriority w:val="99"/>
    <w:unhideWhenUsed/>
    <w:rsid w:val="00AC5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HAINV-TKHDQT</cp:lastModifiedBy>
  <cp:revision>2</cp:revision>
  <cp:lastPrinted>2019-04-04T06:29:00Z</cp:lastPrinted>
  <dcterms:created xsi:type="dcterms:W3CDTF">2020-06-09T02:57:00Z</dcterms:created>
  <dcterms:modified xsi:type="dcterms:W3CDTF">2020-06-09T02:57:00Z</dcterms:modified>
</cp:coreProperties>
</file>